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</w:pPr>
      <w:r w:rsidRPr="00610B97"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  <w:t xml:space="preserve">Advanced Clinical Practice Capability Cross Referencing </w:t>
      </w:r>
    </w:p>
    <w:p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Times New Roman" w:eastAsia="Times New Roman" w:hAnsi="Times New Roman"/>
          <w:color w:val="000000"/>
          <w:szCs w:val="24"/>
          <w:u w:color="000000"/>
          <w:bdr w:val="nil"/>
          <w:lang w:eastAsia="en-GB"/>
        </w:rPr>
      </w:pPr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31"/>
        <w:gridCol w:w="2190"/>
        <w:gridCol w:w="2191"/>
        <w:gridCol w:w="2190"/>
        <w:gridCol w:w="2192"/>
        <w:gridCol w:w="2191"/>
      </w:tblGrid>
      <w:tr w:rsidR="00610B97" w:rsidRPr="00610B97" w:rsidTr="002831B4">
        <w:trPr>
          <w:trHeight w:val="285"/>
          <w:tblHeader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bookmarkStart w:id="0" w:name="_Hlk16687769"/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</w:t>
            </w:r>
          </w:p>
        </w:tc>
      </w:tr>
      <w:tr w:rsidR="00610B97" w:rsidRPr="00610B97" w:rsidTr="002831B4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ACP (Primary Care Nurse) Capabilities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2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3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4</w:t>
            </w:r>
          </w:p>
        </w:tc>
      </w:tr>
      <w:tr w:rsidR="00610B97" w:rsidRPr="00610B97" w:rsidTr="002831B4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MSc Assignments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Work based Assessments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Reflections / Learning log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Feedback / Correspondence</w:t>
            </w:r>
          </w:p>
        </w:tc>
      </w:tr>
      <w:bookmarkEnd w:id="0"/>
      <w:tr w:rsidR="00610B97" w:rsidRPr="00610B9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A. Person-centred collaborative working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Communication and consultation skills</w:t>
            </w: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2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Practising Holistically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 xml:space="preserve">Promoting Health 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 xml:space="preserve">public  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72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person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Working with colleagues and in teams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4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4B09C0" w:rsidP="00610B97">
            <w:pP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hyperlink w:anchor="_Toc5039310" w:history="1">
              <w:r w:rsidR="00610B97" w:rsidRPr="00610B97">
                <w:rPr>
                  <w:rFonts w:ascii="Helvetica" w:eastAsia="Arial Unicode MS" w:hAnsi="Helvetica" w:cs="Arial Unicode MS"/>
                  <w:color w:val="000000"/>
                  <w:sz w:val="20"/>
                  <w:szCs w:val="20"/>
                  <w:bdr w:val="nil"/>
                  <w:lang w:eastAsia="en-GB"/>
                </w:rPr>
                <w:t>Maintaining an ethical approach and fitness to practice</w:t>
              </w:r>
            </w:hyperlink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bookmarkStart w:id="1" w:name="_Hlk7196631"/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B. Assessment, investigations and diagnosis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bookmarkEnd w:id="1"/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5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Information gathering and interpretation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6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examination and procedural skills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58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7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Making a diagnosis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279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C. Condition management &amp; treatment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8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management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9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Managing medical and clinical complexity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Independent prescribing and pharmacotherapy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D. Leadership and management, education and research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Leadership, management </w:t>
            </w:r>
            <w:r w:rsidRPr="00610B97"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  <w:t>and organisation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12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Education and development </w:t>
            </w: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Research and evidence-based practice 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</w:tbl>
    <w:p w:rsidR="00610B97" w:rsidRPr="00610B97" w:rsidRDefault="00610B97" w:rsidP="00610B97">
      <w:pPr>
        <w:rPr>
          <w:rFonts w:cs="Arial"/>
          <w:b/>
          <w:szCs w:val="24"/>
        </w:rPr>
      </w:pPr>
      <w:bookmarkStart w:id="2" w:name="_Hlk15049661"/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31"/>
        <w:gridCol w:w="2190"/>
        <w:gridCol w:w="2191"/>
        <w:gridCol w:w="2190"/>
        <w:gridCol w:w="2192"/>
        <w:gridCol w:w="2191"/>
      </w:tblGrid>
      <w:tr w:rsidR="00610B97" w:rsidRPr="00610B97" w:rsidTr="002831B4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 across the systems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2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3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4</w:t>
            </w:r>
          </w:p>
        </w:tc>
      </w:tr>
      <w:tr w:rsidR="00610B97" w:rsidRPr="00610B97" w:rsidTr="002831B4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MSc Assignments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Work based Assessments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Reflections / Learning log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Feedback / Correspondence</w:t>
            </w:r>
          </w:p>
        </w:tc>
      </w:tr>
      <w:tr w:rsidR="00610B97" w:rsidRPr="00610B97" w:rsidTr="002831B4">
        <w:trPr>
          <w:trHeight w:val="450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r w:rsidRPr="00610B97">
              <w:rPr>
                <w:rFonts w:cs="Arial"/>
                <w:b/>
              </w:rPr>
              <w:t>Cardiovascular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Chest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Chest discomfort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Orthopnoea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Palpitations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Irregular pulse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Oedema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Blood pressure issues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84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t>Dermatology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 – localised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 – systemic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Itching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Infestation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Spots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lesions, moles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Skin lesions, moles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Changes in pigmentation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ulcers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wound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Post-operative wounds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Minor injury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56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t>Ear, nose &amp; throat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Dizziness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Vertigo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Otalgia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proofErr w:type="spellStart"/>
            <w:r w:rsidRPr="00610B97">
              <w:rPr>
                <w:rFonts w:cs="Arial"/>
                <w:sz w:val="22"/>
              </w:rPr>
              <w:t>Otorrhoea</w:t>
            </w:r>
            <w:proofErr w:type="spellEnd"/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Sinus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Nasal pain, obstruction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Mouth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Neck swelling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Sore throat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Throat swellings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Tinnitus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Hearing loss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Snoring</w:t>
            </w:r>
          </w:p>
          <w:p w:rsidR="00E23345" w:rsidRDefault="00610B97" w:rsidP="00E23345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Voice changes</w:t>
            </w:r>
          </w:p>
          <w:p w:rsidR="00E23345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  <w:p w:rsidR="00E23345" w:rsidRPr="00610B97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Emergency Presentations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Respiratory distress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Cardiovascular adverse signs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Anaphylaxis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Angioedema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Collapse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Seizure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Sepsis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Non blanching rash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Overdose/poisoning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Suspected diabetic ketoacidosis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proofErr w:type="spellStart"/>
            <w:r w:rsidRPr="00610B97">
              <w:rPr>
                <w:rFonts w:cs="Arial"/>
                <w:sz w:val="22"/>
              </w:rPr>
              <w:t>Meningism</w:t>
            </w:r>
            <w:proofErr w:type="spellEnd"/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Limp child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Eyes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eastAsia="Helvetica" w:cs="Arial"/>
                <w:b/>
                <w:color w:val="000000"/>
                <w:szCs w:val="24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Red eye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Painful red eye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Painful eye – including eye &amp; or lids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Visual disturbance – blurred vision, diplopia, flashing lights, floaters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Acute loss of vison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discharge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injury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Foreign Body</w:t>
            </w:r>
          </w:p>
          <w:p w:rsid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Swollen eye/lid</w:t>
            </w:r>
          </w:p>
          <w:p w:rsidR="00E23345" w:rsidRPr="00610B97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Family planning &amp; Sexual Health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Genital rashes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Vaginal/penial discharge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Contraception including general advice, counselling on, problems with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Emergency contraception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Unprotected sexual intercourse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Sexual assault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Inability to conceive</w:t>
            </w:r>
          </w:p>
          <w:p w:rsidR="00610B97" w:rsidRDefault="00610B97" w:rsidP="00610B97">
            <w:pPr>
              <w:spacing w:before="240" w:after="240"/>
              <w:rPr>
                <w:rFonts w:cs="Arial"/>
                <w:sz w:val="22"/>
              </w:rPr>
            </w:pPr>
          </w:p>
          <w:p w:rsidR="00E23345" w:rsidRPr="00610B97" w:rsidRDefault="00E23345" w:rsidP="00610B97">
            <w:pP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r w:rsidRPr="00610B97">
              <w:rPr>
                <w:rFonts w:cs="Arial"/>
                <w:b/>
              </w:rPr>
              <w:t>Gastrointestinal &amp; Hepatic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Difficulty Swallowing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Poor appetite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distension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mass/swelling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Constipation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Diarrhoea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Faecal leaking/incontinence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Change in bowel habit – blood in stools, mucus in stools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Nausea &amp; / Vomiting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proofErr w:type="spellStart"/>
            <w:r w:rsidRPr="00610B97">
              <w:rPr>
                <w:rFonts w:cs="Arial"/>
                <w:sz w:val="22"/>
              </w:rPr>
              <w:t>Haematemesis</w:t>
            </w:r>
            <w:proofErr w:type="spellEnd"/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Weight loss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Indigestion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Jaundice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Rectal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Rectal bleeding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results – deranged Liver function tests (LFTs), anaemia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High risk behaviours &amp; concerns – intravenous (IV) drug use, sexual history, contact with sufferers of</w:t>
            </w:r>
          </w:p>
          <w:p w:rsid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Stoma issues</w:t>
            </w:r>
          </w:p>
          <w:p w:rsidR="00E23345" w:rsidRPr="00610B97" w:rsidRDefault="00E23345" w:rsidP="00E23345">
            <w:pPr>
              <w:spacing w:before="32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615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 xml:space="preserve">Male and Female Anatomical Health 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Testicular pain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Testicular lumps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Genital rashes/irritation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 including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Dysuria, haematuria, </w:t>
            </w:r>
            <w:proofErr w:type="spellStart"/>
            <w:r w:rsidRPr="00610B97">
              <w:rPr>
                <w:rFonts w:cs="Arial"/>
                <w:sz w:val="22"/>
              </w:rPr>
              <w:t>nocturia</w:t>
            </w:r>
            <w:proofErr w:type="spellEnd"/>
            <w:r w:rsidRPr="00610B97">
              <w:rPr>
                <w:rFonts w:cs="Arial"/>
                <w:sz w:val="22"/>
              </w:rPr>
              <w:t>, changes in urinary stream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Penile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Penile discharge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Erectile dysfunction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Groin swelling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Breast symptoms including pain, lump, nipple discharge, skin changes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Inter-menstrual bleeding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Post-coital bleeding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Menstrual problems – including dysmenorrhoea, menorrhagia, </w:t>
            </w:r>
            <w:proofErr w:type="spellStart"/>
            <w:r w:rsidRPr="00610B97">
              <w:rPr>
                <w:rFonts w:cs="Arial"/>
                <w:sz w:val="22"/>
              </w:rPr>
              <w:t>oligomenorrhoea</w:t>
            </w:r>
            <w:proofErr w:type="spellEnd"/>
            <w:r w:rsidRPr="00610B97">
              <w:rPr>
                <w:rFonts w:cs="Arial"/>
                <w:sz w:val="22"/>
              </w:rPr>
              <w:t>, primary &amp; secondary amenorrhoea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Dyspareunia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 irritation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 discharge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Hirsutism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Menopausal symptoms – including hot flushes, night sweats, vaginal dryness</w:t>
            </w:r>
          </w:p>
          <w:p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647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t xml:space="preserve">Medication review &amp; </w:t>
            </w:r>
            <w:r w:rsidR="00A7153B">
              <w:rPr>
                <w:rFonts w:cs="Arial"/>
                <w:b/>
              </w:rPr>
              <w:t xml:space="preserve">medication </w:t>
            </w:r>
            <w:r w:rsidRPr="00610B97">
              <w:rPr>
                <w:rFonts w:cs="Arial"/>
                <w:b/>
              </w:rPr>
              <w:t>issues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Adverse side effects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Ineffective medication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Poor compliance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Over-use of medication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Misuse of medication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Issues with polypharmacy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test monitoring results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Higher risk groups – requiring risk reduction medicines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552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Mental health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Suicidal ideation, self-harm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Low mood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Anxiety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Stress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Panic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Post-natal mental health issues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Visual/auditory hallucinations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Paranoia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Anger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Bereavement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Eating disorders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sz w:val="22"/>
              </w:rPr>
            </w:pPr>
            <w:r w:rsidRPr="00610B97">
              <w:rPr>
                <w:rFonts w:cs="Arial"/>
                <w:sz w:val="22"/>
              </w:rPr>
              <w:t>Substance misuse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37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t>Musculoskeletal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Swelling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Redness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Stiffness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Difficulty with movement – spasticity, </w:t>
            </w:r>
          </w:p>
          <w:p w:rsid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Minor injury</w:t>
            </w:r>
          </w:p>
          <w:p w:rsidR="00E23345" w:rsidRPr="00610B97" w:rsidRDefault="00E23345" w:rsidP="00E233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198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t>Neurological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level of consciousness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Fits, faints &amp; funny turns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Dizziness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power, tone, sensitivity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Paraesthesia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level of consciousness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Weakness -localised, general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gait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Facial palsy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Tremor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Speech Changes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Headache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Head Injury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Memory problems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Confusion</w:t>
            </w:r>
          </w:p>
          <w:p w:rsidR="00610B97" w:rsidRDefault="00610B97" w:rsidP="00610B97">
            <w:pPr>
              <w:spacing w:before="240" w:after="240"/>
              <w:ind w:left="357"/>
              <w:rPr>
                <w:rFonts w:cs="Arial"/>
                <w:sz w:val="22"/>
              </w:rPr>
            </w:pPr>
          </w:p>
          <w:p w:rsidR="00E23345" w:rsidRPr="00610B97" w:rsidRDefault="00E23345" w:rsidP="00610B97">
            <w:pP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2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t>Paediatrics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Vulnerable child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Rashes including inflammatory, infected, localised and systemic, napkin rashes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Pyrexia of unknown origin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Crying baby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Ear symptoms including otalgia, discharge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symptoms including eye discharge, pink eye, red eye, visual symptoms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Cough/wheeze/stridor/respiratory distress/nasal symptoms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Sore throat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Vomiting, feeding problems, failure to thrive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Bowel symptoms including diarrhoea, constipation, worms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Problem behaviour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Limp 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Muscular-skeletal symptoms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Behavioural problems</w:t>
            </w:r>
          </w:p>
          <w:p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766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Pain – assessment and management</w:t>
            </w:r>
          </w:p>
        </w:tc>
      </w:tr>
      <w:tr w:rsidR="00610B97" w:rsidRPr="00610B97" w:rsidTr="002831B4">
        <w:trPr>
          <w:trHeight w:val="766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Acute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Chronic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Worsening of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Change in type of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Ineffective management of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</w:rPr>
            </w:pPr>
            <w:r w:rsidRPr="00610B97">
              <w:rPr>
                <w:rFonts w:cs="Arial"/>
                <w:sz w:val="22"/>
              </w:rPr>
              <w:t>Pain affecting sleep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63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Palliative &amp; end of life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Nausea/vomiting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Agitation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</w:rPr>
            </w:pPr>
            <w:r w:rsidRPr="00610B97">
              <w:rPr>
                <w:rFonts w:cs="Arial"/>
                <w:sz w:val="22"/>
              </w:rPr>
              <w:t>Low mood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24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 xml:space="preserve">Renal &amp; </w:t>
            </w:r>
            <w:proofErr w:type="spellStart"/>
            <w:r w:rsidRPr="00610B97">
              <w:rPr>
                <w:rFonts w:cs="Arial"/>
                <w:b/>
              </w:rPr>
              <w:t>Genito</w:t>
            </w:r>
            <w:proofErr w:type="spellEnd"/>
            <w:r w:rsidRPr="00610B97">
              <w:rPr>
                <w:rFonts w:cs="Arial"/>
                <w:b/>
              </w:rPr>
              <w:t xml:space="preserve"> Urinary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Loin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Groin pain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Haematuria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 – dysuria, frequency, urgency, hesitancy, incontinence, retention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results – deranged renal function including chronic kidney disease (CKD) and Acute Kidney Injury (AKI)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Family history of kidney problems/diseases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Catheter issues</w:t>
            </w:r>
          </w:p>
          <w:p w:rsid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Recurrent infection</w:t>
            </w:r>
          </w:p>
          <w:p w:rsidR="00E23345" w:rsidRPr="00610B97" w:rsidRDefault="00E23345" w:rsidP="00E233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tr w:rsidR="00610B97" w:rsidRPr="00610B97" w:rsidTr="002831B4">
        <w:trPr>
          <w:trHeight w:val="459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Respiratory</w:t>
            </w:r>
          </w:p>
        </w:tc>
      </w:tr>
      <w:tr w:rsidR="00610B97" w:rsidRPr="00610B9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ind w:left="360"/>
              <w:contextualSpacing/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Shortness of breath, breathing difficulties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 on breathing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Cough, including haemoptysis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Wheeze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Sleep apnoea</w:t>
            </w:r>
          </w:p>
          <w:p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Pallor/cyanosis</w:t>
            </w:r>
          </w:p>
          <w:p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97" w:rsidRPr="00610B97" w:rsidRDefault="00610B97" w:rsidP="00610B97"/>
        </w:tc>
      </w:tr>
      <w:bookmarkEnd w:id="2"/>
    </w:tbl>
    <w:p w:rsidR="00610B97" w:rsidRPr="00610B97" w:rsidRDefault="00610B97" w:rsidP="00610B97">
      <w:pPr>
        <w:rPr>
          <w:rFonts w:cs="Arial"/>
          <w:b/>
          <w:szCs w:val="24"/>
        </w:rPr>
      </w:pPr>
    </w:p>
    <w:sectPr w:rsidR="00610B97" w:rsidRPr="00610B97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C0" w:rsidRDefault="004B09C0" w:rsidP="00157031">
      <w:pPr>
        <w:spacing w:before="0" w:after="0"/>
      </w:pPr>
      <w:r>
        <w:separator/>
      </w:r>
    </w:p>
  </w:endnote>
  <w:endnote w:type="continuationSeparator" w:id="0">
    <w:p w:rsidR="004B09C0" w:rsidRDefault="004B09C0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C0" w:rsidRDefault="004B09C0" w:rsidP="00157031">
      <w:pPr>
        <w:spacing w:before="0" w:after="0"/>
      </w:pPr>
      <w:r>
        <w:separator/>
      </w:r>
    </w:p>
  </w:footnote>
  <w:footnote w:type="continuationSeparator" w:id="0">
    <w:p w:rsidR="004B09C0" w:rsidRDefault="004B09C0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07D"/>
    <w:multiLevelType w:val="hybridMultilevel"/>
    <w:tmpl w:val="6AC0B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50659"/>
    <w:multiLevelType w:val="hybridMultilevel"/>
    <w:tmpl w:val="62AE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034809"/>
    <w:rsid w:val="000D2BA3"/>
    <w:rsid w:val="001201FC"/>
    <w:rsid w:val="00157031"/>
    <w:rsid w:val="003F3EBC"/>
    <w:rsid w:val="004A309D"/>
    <w:rsid w:val="004B09C0"/>
    <w:rsid w:val="006063E4"/>
    <w:rsid w:val="00610B97"/>
    <w:rsid w:val="0063576E"/>
    <w:rsid w:val="006D74F8"/>
    <w:rsid w:val="007201A0"/>
    <w:rsid w:val="00796425"/>
    <w:rsid w:val="007C5903"/>
    <w:rsid w:val="007C7897"/>
    <w:rsid w:val="00824C6E"/>
    <w:rsid w:val="008507A3"/>
    <w:rsid w:val="00A406E0"/>
    <w:rsid w:val="00A7153B"/>
    <w:rsid w:val="00AB7C41"/>
    <w:rsid w:val="00B64E05"/>
    <w:rsid w:val="00BE6064"/>
    <w:rsid w:val="00C17825"/>
    <w:rsid w:val="00C904C5"/>
    <w:rsid w:val="00D6113F"/>
    <w:rsid w:val="00DB01C2"/>
    <w:rsid w:val="00E23345"/>
    <w:rsid w:val="00E8364C"/>
    <w:rsid w:val="00E93925"/>
    <w:rsid w:val="00E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824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2021-01-12T11:57:00Z</dcterms:created>
  <dcterms:modified xsi:type="dcterms:W3CDTF">2021-01-12T11:57:00Z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